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C30" w:rsidRDefault="00E70B11" w:rsidP="00E70B11">
      <w:pPr>
        <w:pStyle w:val="Heading2"/>
        <w:jc w:val="center"/>
        <w:rPr>
          <w:rFonts w:ascii="Arial" w:hAnsi="Arial" w:cs="Arial"/>
          <w:sz w:val="22"/>
        </w:rPr>
      </w:pPr>
      <w:r w:rsidRPr="00E70B11">
        <w:rPr>
          <w:rFonts w:ascii="Arial" w:hAnsi="Arial" w:cs="Arial"/>
          <w:sz w:val="22"/>
        </w:rPr>
        <w:t>GUIDANCE FOR ACTION ITEM 5.18 – WATER WASTE POLICY</w:t>
      </w:r>
    </w:p>
    <w:p w:rsidR="00F02464" w:rsidRPr="00E70B11" w:rsidRDefault="00E70B11" w:rsidP="00E70B11">
      <w:pPr>
        <w:pStyle w:val="Heading2"/>
        <w:jc w:val="center"/>
        <w:rPr>
          <w:rFonts w:ascii="Arial" w:hAnsi="Arial" w:cs="Arial"/>
          <w:sz w:val="22"/>
        </w:rPr>
      </w:pPr>
      <w:r w:rsidRPr="00E70B11">
        <w:rPr>
          <w:rFonts w:ascii="Arial" w:hAnsi="Arial" w:cs="Arial"/>
          <w:sz w:val="22"/>
        </w:rPr>
        <w:t>IN THE WATER SUPPLY AND WATER CONSERVATION PLAN</w:t>
      </w:r>
    </w:p>
    <w:p w:rsidR="007702C2" w:rsidRPr="00E70B11" w:rsidRDefault="007702C2" w:rsidP="00F02464">
      <w:pPr>
        <w:jc w:val="both"/>
        <w:rPr>
          <w:rFonts w:ascii="Arial" w:hAnsi="Arial" w:cs="Arial"/>
          <w:color w:val="000000"/>
          <w:sz w:val="20"/>
          <w:szCs w:val="20"/>
        </w:rPr>
      </w:pPr>
    </w:p>
    <w:p w:rsidR="008E77F4" w:rsidRPr="00E70B11" w:rsidRDefault="008E77F4" w:rsidP="00F02464">
      <w:pPr>
        <w:jc w:val="both"/>
        <w:rPr>
          <w:rFonts w:ascii="Arial" w:hAnsi="Arial" w:cs="Arial"/>
          <w:i/>
          <w:color w:val="000000"/>
          <w:sz w:val="20"/>
          <w:szCs w:val="20"/>
        </w:rPr>
      </w:pPr>
      <w:r w:rsidRPr="00E70B11">
        <w:rPr>
          <w:rFonts w:ascii="Arial" w:hAnsi="Arial" w:cs="Arial"/>
          <w:i/>
          <w:color w:val="000000"/>
          <w:sz w:val="20"/>
          <w:szCs w:val="20"/>
        </w:rPr>
        <w:t>On December 2, 201</w:t>
      </w:r>
      <w:r w:rsidR="000D117A" w:rsidRPr="00E70B11">
        <w:rPr>
          <w:rFonts w:ascii="Arial" w:hAnsi="Arial" w:cs="Arial"/>
          <w:i/>
          <w:color w:val="000000"/>
          <w:sz w:val="20"/>
          <w:szCs w:val="20"/>
        </w:rPr>
        <w:t>0</w:t>
      </w:r>
      <w:r w:rsidRPr="00E70B11">
        <w:rPr>
          <w:rFonts w:ascii="Arial" w:hAnsi="Arial" w:cs="Arial"/>
          <w:i/>
          <w:color w:val="000000"/>
          <w:sz w:val="20"/>
          <w:szCs w:val="20"/>
        </w:rPr>
        <w:t xml:space="preserve"> additional water conservation measures were adopted as amendments to the 2009 Water Supply and Water Cons</w:t>
      </w:r>
      <w:r w:rsidR="00032C30">
        <w:rPr>
          <w:rFonts w:ascii="Arial" w:hAnsi="Arial" w:cs="Arial"/>
          <w:i/>
          <w:color w:val="000000"/>
          <w:sz w:val="20"/>
          <w:szCs w:val="20"/>
        </w:rPr>
        <w:t xml:space="preserve">ervation Plan. Action Item 5.18 – Water </w:t>
      </w:r>
      <w:r w:rsidRPr="00E70B11">
        <w:rPr>
          <w:rFonts w:ascii="Arial" w:hAnsi="Arial" w:cs="Arial"/>
          <w:i/>
          <w:color w:val="000000"/>
          <w:sz w:val="20"/>
          <w:szCs w:val="20"/>
        </w:rPr>
        <w:t xml:space="preserve">Waste Policy requires local governments and water providers to </w:t>
      </w:r>
      <w:r w:rsidR="002F224D" w:rsidRPr="00E70B11">
        <w:rPr>
          <w:rFonts w:ascii="Arial" w:hAnsi="Arial" w:cs="Arial"/>
          <w:i/>
          <w:color w:val="000000"/>
          <w:sz w:val="20"/>
          <w:szCs w:val="20"/>
        </w:rPr>
        <w:t xml:space="preserve">develop and </w:t>
      </w:r>
      <w:r w:rsidRPr="00E70B11">
        <w:rPr>
          <w:rFonts w:ascii="Arial" w:hAnsi="Arial" w:cs="Arial"/>
          <w:i/>
          <w:color w:val="000000"/>
          <w:sz w:val="20"/>
          <w:szCs w:val="20"/>
        </w:rPr>
        <w:t xml:space="preserve">adopt a water waste policy or ordinance </w:t>
      </w:r>
      <w:r w:rsidR="002F224D" w:rsidRPr="00E70B11">
        <w:rPr>
          <w:rFonts w:ascii="Arial" w:hAnsi="Arial" w:cs="Arial"/>
          <w:i/>
          <w:color w:val="000000"/>
          <w:sz w:val="20"/>
          <w:szCs w:val="20"/>
        </w:rPr>
        <w:t>in 2012</w:t>
      </w:r>
      <w:r w:rsidRPr="00E70B11">
        <w:rPr>
          <w:rFonts w:ascii="Arial" w:hAnsi="Arial" w:cs="Arial"/>
          <w:i/>
          <w:color w:val="000000"/>
          <w:sz w:val="20"/>
          <w:szCs w:val="20"/>
        </w:rPr>
        <w:t>. The level of detail may vary by local water provider. The de</w:t>
      </w:r>
      <w:r w:rsidR="00764302" w:rsidRPr="00E70B11">
        <w:rPr>
          <w:rFonts w:ascii="Arial" w:hAnsi="Arial" w:cs="Arial"/>
          <w:i/>
          <w:color w:val="000000"/>
          <w:sz w:val="20"/>
          <w:szCs w:val="20"/>
        </w:rPr>
        <w:t xml:space="preserve">scription of this measure states that the Metro Water District will develop guidance </w:t>
      </w:r>
      <w:r w:rsidR="002F224D" w:rsidRPr="00E70B11">
        <w:rPr>
          <w:rFonts w:ascii="Arial" w:hAnsi="Arial" w:cs="Arial"/>
          <w:i/>
          <w:color w:val="000000"/>
          <w:sz w:val="20"/>
          <w:szCs w:val="20"/>
        </w:rPr>
        <w:t>for</w:t>
      </w:r>
      <w:r w:rsidR="00764302" w:rsidRPr="00E70B11">
        <w:rPr>
          <w:rFonts w:ascii="Arial" w:hAnsi="Arial" w:cs="Arial"/>
          <w:i/>
          <w:color w:val="000000"/>
          <w:sz w:val="20"/>
          <w:szCs w:val="20"/>
        </w:rPr>
        <w:t xml:space="preserve"> local government</w:t>
      </w:r>
      <w:r w:rsidR="002F224D" w:rsidRPr="00E70B11">
        <w:rPr>
          <w:rFonts w:ascii="Arial" w:hAnsi="Arial" w:cs="Arial"/>
          <w:i/>
          <w:color w:val="000000"/>
          <w:sz w:val="20"/>
          <w:szCs w:val="20"/>
        </w:rPr>
        <w:t>s</w:t>
      </w:r>
      <w:r w:rsidR="00764302" w:rsidRPr="00E70B11">
        <w:rPr>
          <w:rFonts w:ascii="Arial" w:hAnsi="Arial" w:cs="Arial"/>
          <w:i/>
          <w:color w:val="000000"/>
          <w:sz w:val="20"/>
          <w:szCs w:val="20"/>
        </w:rPr>
        <w:t xml:space="preserve"> to support local ordinance development. The policy outlined below is intended to serve as such</w:t>
      </w:r>
      <w:r w:rsidR="00E70B11" w:rsidRPr="00E70B11">
        <w:rPr>
          <w:rFonts w:ascii="Arial" w:hAnsi="Arial" w:cs="Arial"/>
          <w:i/>
          <w:color w:val="000000"/>
          <w:sz w:val="20"/>
          <w:szCs w:val="20"/>
        </w:rPr>
        <w:t xml:space="preserve"> general</w:t>
      </w:r>
      <w:r w:rsidR="00764302" w:rsidRPr="00E70B11">
        <w:rPr>
          <w:rFonts w:ascii="Arial" w:hAnsi="Arial" w:cs="Arial"/>
          <w:i/>
          <w:color w:val="000000"/>
          <w:sz w:val="20"/>
          <w:szCs w:val="20"/>
        </w:rPr>
        <w:t xml:space="preserve"> guidance.</w:t>
      </w:r>
      <w:r w:rsidR="00E70B11" w:rsidRPr="00E70B11">
        <w:rPr>
          <w:rFonts w:ascii="Arial" w:hAnsi="Arial" w:cs="Arial"/>
          <w:i/>
          <w:color w:val="000000"/>
          <w:sz w:val="20"/>
          <w:szCs w:val="20"/>
        </w:rPr>
        <w:t xml:space="preserve"> Jurisdictions and local water systems may use alternate language or modify the following policy language to achieve the level of detail desired for their water systems.</w:t>
      </w:r>
    </w:p>
    <w:p w:rsidR="00E70B11" w:rsidRPr="00E70B11" w:rsidRDefault="00E70B11" w:rsidP="00F02464">
      <w:pPr>
        <w:jc w:val="both"/>
        <w:rPr>
          <w:rFonts w:ascii="Arial" w:hAnsi="Arial" w:cs="Arial"/>
          <w:i/>
          <w:color w:val="000000"/>
          <w:sz w:val="20"/>
          <w:szCs w:val="20"/>
        </w:rPr>
      </w:pPr>
    </w:p>
    <w:p w:rsidR="00E70B11" w:rsidRPr="00E70B11" w:rsidRDefault="00E70B11" w:rsidP="00E70B11">
      <w:pPr>
        <w:jc w:val="center"/>
        <w:rPr>
          <w:rFonts w:ascii="Arial" w:hAnsi="Arial" w:cs="Arial"/>
          <w:b/>
          <w:color w:val="000000"/>
          <w:sz w:val="20"/>
          <w:szCs w:val="20"/>
        </w:rPr>
      </w:pPr>
      <w:r w:rsidRPr="00E70B11">
        <w:rPr>
          <w:rFonts w:ascii="Arial" w:hAnsi="Arial" w:cs="Arial"/>
          <w:b/>
          <w:color w:val="000000"/>
          <w:sz w:val="20"/>
          <w:szCs w:val="20"/>
        </w:rPr>
        <w:t xml:space="preserve">WATER </w:t>
      </w:r>
      <w:r>
        <w:rPr>
          <w:rFonts w:ascii="Arial" w:hAnsi="Arial" w:cs="Arial"/>
          <w:b/>
          <w:color w:val="000000"/>
          <w:sz w:val="20"/>
          <w:szCs w:val="20"/>
        </w:rPr>
        <w:t>WASTE POLICY O</w:t>
      </w:r>
      <w:r w:rsidRPr="00E70B11">
        <w:rPr>
          <w:rFonts w:ascii="Arial" w:hAnsi="Arial" w:cs="Arial"/>
          <w:b/>
          <w:color w:val="000000"/>
          <w:sz w:val="20"/>
          <w:szCs w:val="20"/>
        </w:rPr>
        <w:t>R ORDINANCE SAMPLE LANGUAGE</w:t>
      </w:r>
    </w:p>
    <w:p w:rsidR="008E77F4" w:rsidRPr="00E70B11" w:rsidRDefault="008E77F4" w:rsidP="00F02464">
      <w:pPr>
        <w:jc w:val="both"/>
        <w:rPr>
          <w:rFonts w:ascii="Arial" w:hAnsi="Arial" w:cs="Arial"/>
          <w:color w:val="000000"/>
          <w:sz w:val="12"/>
          <w:szCs w:val="20"/>
        </w:rPr>
      </w:pPr>
    </w:p>
    <w:p w:rsidR="007910E0" w:rsidRPr="00E70B11" w:rsidRDefault="007910E0" w:rsidP="00F02464">
      <w:pPr>
        <w:jc w:val="both"/>
        <w:rPr>
          <w:rFonts w:ascii="Arial" w:hAnsi="Arial" w:cs="Arial"/>
          <w:color w:val="000000"/>
          <w:sz w:val="20"/>
          <w:szCs w:val="20"/>
        </w:rPr>
      </w:pPr>
      <w:r w:rsidRPr="00E70B11">
        <w:rPr>
          <w:rFonts w:ascii="Arial" w:hAnsi="Arial" w:cs="Arial"/>
          <w:color w:val="000000"/>
          <w:sz w:val="20"/>
          <w:szCs w:val="20"/>
        </w:rPr>
        <w:t xml:space="preserve">If it is found that there is a waste of water in or about any premises to which water is supplied from the </w:t>
      </w:r>
      <w:r w:rsidR="00F02464" w:rsidRPr="003975E7">
        <w:rPr>
          <w:rFonts w:ascii="Arial" w:hAnsi="Arial" w:cs="Arial"/>
          <w:color w:val="000000"/>
          <w:sz w:val="20"/>
          <w:szCs w:val="20"/>
          <w:highlight w:val="yellow"/>
        </w:rPr>
        <w:t>[</w:t>
      </w:r>
      <w:r w:rsidR="00F02464" w:rsidRPr="003975E7">
        <w:rPr>
          <w:rFonts w:ascii="Arial" w:hAnsi="Arial" w:cs="Arial"/>
          <w:i/>
          <w:color w:val="000000"/>
          <w:sz w:val="20"/>
          <w:szCs w:val="20"/>
          <w:highlight w:val="yellow"/>
        </w:rPr>
        <w:t xml:space="preserve">Water </w:t>
      </w:r>
      <w:r w:rsidR="00C86DB8" w:rsidRPr="003975E7">
        <w:rPr>
          <w:rFonts w:ascii="Arial" w:hAnsi="Arial" w:cs="Arial"/>
          <w:i/>
          <w:color w:val="000000"/>
          <w:sz w:val="20"/>
          <w:szCs w:val="20"/>
          <w:highlight w:val="yellow"/>
        </w:rPr>
        <w:t>Utility</w:t>
      </w:r>
      <w:r w:rsidR="00F02464" w:rsidRPr="00AF2E04">
        <w:rPr>
          <w:rFonts w:ascii="Arial" w:hAnsi="Arial" w:cs="Arial"/>
          <w:color w:val="000000"/>
          <w:sz w:val="20"/>
          <w:szCs w:val="20"/>
          <w:highlight w:val="yellow"/>
        </w:rPr>
        <w:t>]</w:t>
      </w:r>
      <w:bookmarkStart w:id="0" w:name="_GoBack"/>
      <w:bookmarkEnd w:id="0"/>
      <w:r w:rsidR="00F02464" w:rsidRPr="00E70B11">
        <w:rPr>
          <w:rFonts w:ascii="Arial" w:hAnsi="Arial" w:cs="Arial"/>
          <w:color w:val="000000"/>
          <w:sz w:val="20"/>
          <w:szCs w:val="20"/>
        </w:rPr>
        <w:t xml:space="preserve"> </w:t>
      </w:r>
      <w:r w:rsidRPr="00E70B11">
        <w:rPr>
          <w:rFonts w:ascii="Arial" w:hAnsi="Arial" w:cs="Arial"/>
          <w:color w:val="000000"/>
          <w:sz w:val="20"/>
          <w:szCs w:val="20"/>
        </w:rPr>
        <w:t xml:space="preserve">system, either by willful waste or by means of a leak in any water pipe or fixture located in or upon the premises, </w:t>
      </w:r>
      <w:r w:rsidR="00F02464" w:rsidRPr="003975E7">
        <w:rPr>
          <w:rFonts w:ascii="Arial" w:hAnsi="Arial" w:cs="Arial"/>
          <w:color w:val="000000"/>
          <w:sz w:val="20"/>
          <w:szCs w:val="20"/>
          <w:highlight w:val="yellow"/>
        </w:rPr>
        <w:t>[</w:t>
      </w:r>
      <w:r w:rsidR="00F02464" w:rsidRPr="003975E7">
        <w:rPr>
          <w:rFonts w:ascii="Arial" w:hAnsi="Arial" w:cs="Arial"/>
          <w:i/>
          <w:color w:val="000000"/>
          <w:sz w:val="20"/>
          <w:szCs w:val="20"/>
          <w:highlight w:val="yellow"/>
        </w:rPr>
        <w:t xml:space="preserve">Water </w:t>
      </w:r>
      <w:r w:rsidR="00C86DB8" w:rsidRPr="003975E7">
        <w:rPr>
          <w:rFonts w:ascii="Arial" w:hAnsi="Arial" w:cs="Arial"/>
          <w:i/>
          <w:color w:val="000000"/>
          <w:sz w:val="20"/>
          <w:szCs w:val="20"/>
          <w:highlight w:val="yellow"/>
        </w:rPr>
        <w:t>Utility</w:t>
      </w:r>
      <w:r w:rsidR="00F02464" w:rsidRPr="003975E7">
        <w:rPr>
          <w:rFonts w:ascii="Arial" w:hAnsi="Arial" w:cs="Arial"/>
          <w:color w:val="000000"/>
          <w:sz w:val="20"/>
          <w:szCs w:val="20"/>
          <w:highlight w:val="yellow"/>
        </w:rPr>
        <w:t>]</w:t>
      </w:r>
      <w:r w:rsidR="00F02464" w:rsidRPr="00E70B11">
        <w:rPr>
          <w:rFonts w:ascii="Arial" w:hAnsi="Arial" w:cs="Arial"/>
          <w:color w:val="000000"/>
          <w:sz w:val="20"/>
          <w:szCs w:val="20"/>
        </w:rPr>
        <w:t xml:space="preserve"> ma</w:t>
      </w:r>
      <w:r w:rsidRPr="00E70B11">
        <w:rPr>
          <w:rFonts w:ascii="Arial" w:hAnsi="Arial" w:cs="Arial"/>
          <w:color w:val="000000"/>
          <w:sz w:val="20"/>
          <w:szCs w:val="20"/>
        </w:rPr>
        <w:t xml:space="preserve">y cause the water to be cut off from the premises upon </w:t>
      </w:r>
      <w:r w:rsidR="001218D1">
        <w:rPr>
          <w:rFonts w:ascii="Arial" w:hAnsi="Arial" w:cs="Arial"/>
          <w:color w:val="000000"/>
          <w:sz w:val="20"/>
          <w:szCs w:val="20"/>
        </w:rPr>
        <w:t>reasonable</w:t>
      </w:r>
      <w:r w:rsidRPr="00E70B11">
        <w:rPr>
          <w:rFonts w:ascii="Arial" w:hAnsi="Arial" w:cs="Arial"/>
          <w:color w:val="000000"/>
          <w:sz w:val="20"/>
          <w:szCs w:val="20"/>
        </w:rPr>
        <w:t xml:space="preserve"> notice to the occupant, unless special circumstances require that such waste shall be immediately stopped. Where the water supply is cut off as herein provided, the water shall not again be turned on until all water bills and the bill for the cost of cutting off and again turning on the water shall have been paid.</w:t>
      </w:r>
    </w:p>
    <w:p w:rsidR="003204CB" w:rsidRPr="00E70B11" w:rsidRDefault="003204CB" w:rsidP="00F02464">
      <w:pPr>
        <w:jc w:val="both"/>
        <w:rPr>
          <w:rFonts w:ascii="Arial" w:hAnsi="Arial" w:cs="Arial"/>
          <w:sz w:val="20"/>
          <w:szCs w:val="20"/>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10178"/>
      </w:tblGrid>
      <w:tr w:rsidR="003204CB" w:rsidRPr="00E70B11" w:rsidTr="00764302">
        <w:trPr>
          <w:trHeight w:val="8433"/>
        </w:trPr>
        <w:tc>
          <w:tcPr>
            <w:tcW w:w="10368" w:type="dxa"/>
            <w:shd w:val="clear" w:color="auto" w:fill="D9D9D9"/>
          </w:tcPr>
          <w:p w:rsidR="003204CB" w:rsidRPr="00E70B11" w:rsidRDefault="003204CB" w:rsidP="002D3454">
            <w:pPr>
              <w:spacing w:before="120"/>
              <w:rPr>
                <w:rFonts w:ascii="Arial" w:hAnsi="Arial" w:cs="Arial"/>
                <w:b/>
                <w:i/>
                <w:sz w:val="20"/>
                <w:szCs w:val="20"/>
              </w:rPr>
            </w:pPr>
            <w:r w:rsidRPr="00E70B11">
              <w:rPr>
                <w:rFonts w:ascii="Arial" w:hAnsi="Arial" w:cs="Arial"/>
                <w:b/>
                <w:i/>
                <w:sz w:val="20"/>
                <w:szCs w:val="20"/>
              </w:rPr>
              <w:t xml:space="preserve">Water Utilities can further define the </w:t>
            </w:r>
            <w:r w:rsidR="007702C2" w:rsidRPr="00E70B11">
              <w:rPr>
                <w:rFonts w:ascii="Arial" w:hAnsi="Arial" w:cs="Arial"/>
                <w:b/>
                <w:i/>
                <w:sz w:val="20"/>
                <w:szCs w:val="20"/>
              </w:rPr>
              <w:t xml:space="preserve">policy or </w:t>
            </w:r>
            <w:r w:rsidRPr="00E70B11">
              <w:rPr>
                <w:rFonts w:ascii="Arial" w:hAnsi="Arial" w:cs="Arial"/>
                <w:b/>
                <w:i/>
                <w:sz w:val="20"/>
                <w:szCs w:val="20"/>
              </w:rPr>
              <w:t xml:space="preserve">ordinance </w:t>
            </w:r>
            <w:r w:rsidR="007702C2" w:rsidRPr="00E70B11">
              <w:rPr>
                <w:rFonts w:ascii="Arial" w:hAnsi="Arial" w:cs="Arial"/>
                <w:b/>
                <w:i/>
                <w:sz w:val="20"/>
                <w:szCs w:val="20"/>
              </w:rPr>
              <w:t>with following optional sections:</w:t>
            </w:r>
          </w:p>
          <w:p w:rsidR="003204CB" w:rsidRPr="00E70B11" w:rsidRDefault="00CD6DB5" w:rsidP="00764302">
            <w:pPr>
              <w:pStyle w:val="Heading1"/>
              <w:keepNext w:val="0"/>
              <w:spacing w:before="200"/>
              <w:rPr>
                <w:rFonts w:ascii="Arial" w:hAnsi="Arial" w:cs="Arial"/>
                <w:b w:val="0"/>
                <w:sz w:val="20"/>
                <w:szCs w:val="20"/>
                <w:u w:val="single"/>
              </w:rPr>
            </w:pPr>
            <w:r w:rsidRPr="00E70B11">
              <w:rPr>
                <w:rFonts w:ascii="Arial" w:hAnsi="Arial" w:cs="Arial"/>
                <w:b w:val="0"/>
                <w:sz w:val="20"/>
                <w:szCs w:val="20"/>
                <w:u w:val="single"/>
              </w:rPr>
              <w:t xml:space="preserve">Waste of </w:t>
            </w:r>
            <w:r w:rsidR="003204CB" w:rsidRPr="00E70B11">
              <w:rPr>
                <w:rFonts w:ascii="Arial" w:hAnsi="Arial" w:cs="Arial"/>
                <w:b w:val="0"/>
                <w:sz w:val="20"/>
                <w:szCs w:val="20"/>
                <w:u w:val="single"/>
              </w:rPr>
              <w:t>Water Prohibitions</w:t>
            </w:r>
          </w:p>
          <w:p w:rsidR="003204CB" w:rsidRPr="00E70B11" w:rsidRDefault="003204CB" w:rsidP="00764302">
            <w:pPr>
              <w:pStyle w:val="Heading1"/>
              <w:keepNext w:val="0"/>
              <w:tabs>
                <w:tab w:val="left" w:pos="540"/>
              </w:tabs>
              <w:spacing w:before="0"/>
              <w:ind w:left="540" w:hanging="540"/>
              <w:rPr>
                <w:rFonts w:ascii="Arial" w:hAnsi="Arial" w:cs="Arial"/>
                <w:b w:val="0"/>
                <w:bCs w:val="0"/>
                <w:sz w:val="20"/>
                <w:szCs w:val="20"/>
              </w:rPr>
            </w:pPr>
            <w:r w:rsidRPr="00E70B11">
              <w:rPr>
                <w:rFonts w:ascii="Arial" w:hAnsi="Arial" w:cs="Arial"/>
                <w:b w:val="0"/>
                <w:bCs w:val="0"/>
                <w:sz w:val="20"/>
                <w:szCs w:val="20"/>
              </w:rPr>
              <w:t>A.</w:t>
            </w:r>
            <w:r w:rsidRPr="00E70B11">
              <w:rPr>
                <w:rFonts w:ascii="Arial" w:hAnsi="Arial" w:cs="Arial"/>
                <w:b w:val="0"/>
                <w:bCs w:val="0"/>
                <w:sz w:val="20"/>
                <w:szCs w:val="20"/>
              </w:rPr>
              <w:tab/>
              <w:t>The following uses are a waste or unreasonable use or method of use of water and are prohibited:</w:t>
            </w:r>
          </w:p>
          <w:p w:rsidR="003204CB" w:rsidRPr="00E70B11" w:rsidRDefault="003204CB" w:rsidP="00764302">
            <w:pPr>
              <w:pStyle w:val="Heading1"/>
              <w:keepNext w:val="0"/>
              <w:numPr>
                <w:ilvl w:val="0"/>
                <w:numId w:val="3"/>
              </w:numPr>
              <w:tabs>
                <w:tab w:val="left" w:pos="720"/>
              </w:tabs>
              <w:spacing w:before="0" w:after="120"/>
              <w:ind w:left="1260" w:hanging="720"/>
              <w:rPr>
                <w:rFonts w:ascii="Arial" w:hAnsi="Arial" w:cs="Arial"/>
                <w:b w:val="0"/>
                <w:bCs w:val="0"/>
                <w:sz w:val="20"/>
                <w:szCs w:val="20"/>
              </w:rPr>
            </w:pPr>
            <w:r w:rsidRPr="00E70B11">
              <w:rPr>
                <w:rFonts w:ascii="Arial" w:hAnsi="Arial" w:cs="Arial"/>
                <w:b w:val="0"/>
                <w:bCs w:val="0"/>
                <w:sz w:val="20"/>
                <w:szCs w:val="20"/>
              </w:rPr>
              <w:t>Allowing water to escape from any premises onto public right-of-way, such as streets and sidewalks, or upon any other person’s property.</w:t>
            </w:r>
          </w:p>
          <w:p w:rsidR="003204CB" w:rsidRPr="00E70B11" w:rsidRDefault="003204CB" w:rsidP="00764302">
            <w:pPr>
              <w:pStyle w:val="Heading1"/>
              <w:keepNext w:val="0"/>
              <w:numPr>
                <w:ilvl w:val="0"/>
                <w:numId w:val="3"/>
              </w:numPr>
              <w:tabs>
                <w:tab w:val="left" w:pos="720"/>
              </w:tabs>
              <w:spacing w:before="0" w:after="120"/>
              <w:ind w:left="1260" w:hanging="720"/>
              <w:rPr>
                <w:rFonts w:ascii="Arial" w:hAnsi="Arial" w:cs="Arial"/>
                <w:b w:val="0"/>
                <w:bCs w:val="0"/>
                <w:sz w:val="20"/>
                <w:szCs w:val="20"/>
              </w:rPr>
            </w:pPr>
            <w:r w:rsidRPr="00E70B11">
              <w:rPr>
                <w:rFonts w:ascii="Arial" w:hAnsi="Arial" w:cs="Arial"/>
                <w:b w:val="0"/>
                <w:bCs w:val="0"/>
                <w:sz w:val="20"/>
                <w:szCs w:val="20"/>
              </w:rPr>
              <w:t>Operating an irrigation system or other lawn or landscaping watering device during rain.</w:t>
            </w:r>
          </w:p>
          <w:p w:rsidR="003204CB" w:rsidRPr="00E70B11" w:rsidRDefault="003204CB" w:rsidP="00764302">
            <w:pPr>
              <w:pStyle w:val="Heading1"/>
              <w:keepNext w:val="0"/>
              <w:numPr>
                <w:ilvl w:val="0"/>
                <w:numId w:val="3"/>
              </w:numPr>
              <w:tabs>
                <w:tab w:val="left" w:pos="720"/>
              </w:tabs>
              <w:spacing w:before="0" w:after="120"/>
              <w:ind w:left="1260" w:hanging="720"/>
              <w:rPr>
                <w:rFonts w:ascii="Arial" w:hAnsi="Arial" w:cs="Arial"/>
                <w:b w:val="0"/>
                <w:bCs w:val="0"/>
                <w:sz w:val="20"/>
                <w:szCs w:val="20"/>
              </w:rPr>
            </w:pPr>
            <w:r w:rsidRPr="00E70B11">
              <w:rPr>
                <w:rFonts w:ascii="Arial" w:hAnsi="Arial" w:cs="Arial"/>
                <w:b w:val="0"/>
                <w:bCs w:val="0"/>
                <w:sz w:val="20"/>
                <w:szCs w:val="20"/>
              </w:rPr>
              <w:t>Operating an irrigation system or other lawn or landscaping watering device that has any broken or missing sprinkler heads.</w:t>
            </w:r>
          </w:p>
          <w:p w:rsidR="003204CB" w:rsidRPr="00E70B11" w:rsidRDefault="003204CB" w:rsidP="00764302">
            <w:pPr>
              <w:pStyle w:val="Heading1"/>
              <w:keepNext w:val="0"/>
              <w:numPr>
                <w:ilvl w:val="0"/>
                <w:numId w:val="3"/>
              </w:numPr>
              <w:tabs>
                <w:tab w:val="left" w:pos="720"/>
              </w:tabs>
              <w:spacing w:before="0" w:after="120"/>
              <w:ind w:left="1260" w:hanging="720"/>
              <w:rPr>
                <w:rFonts w:ascii="Arial" w:hAnsi="Arial" w:cs="Arial"/>
                <w:b w:val="0"/>
                <w:bCs w:val="0"/>
                <w:sz w:val="20"/>
                <w:szCs w:val="20"/>
              </w:rPr>
            </w:pPr>
            <w:r w:rsidRPr="00E70B11">
              <w:rPr>
                <w:rFonts w:ascii="Arial" w:hAnsi="Arial" w:cs="Arial"/>
                <w:b w:val="0"/>
                <w:bCs w:val="0"/>
                <w:sz w:val="20"/>
                <w:szCs w:val="20"/>
              </w:rPr>
              <w:t>Failing to repair a controllable leak, including a broken sprinkler head, or a leaking valve, or a leaking outdoor faucet, or a service line leak, or any other visible outside water leaks, on premises owned, leased, or managed by that person, within 30 days.</w:t>
            </w:r>
          </w:p>
          <w:p w:rsidR="003204CB" w:rsidRPr="00E70B11" w:rsidRDefault="003204CB" w:rsidP="00764302">
            <w:pPr>
              <w:pStyle w:val="Heading1"/>
              <w:keepNext w:val="0"/>
              <w:numPr>
                <w:ilvl w:val="0"/>
                <w:numId w:val="3"/>
              </w:numPr>
              <w:tabs>
                <w:tab w:val="left" w:pos="720"/>
              </w:tabs>
              <w:spacing w:before="0" w:after="120"/>
              <w:ind w:left="1260" w:hanging="720"/>
              <w:rPr>
                <w:rFonts w:ascii="Arial" w:hAnsi="Arial" w:cs="Arial"/>
                <w:b w:val="0"/>
                <w:bCs w:val="0"/>
                <w:sz w:val="20"/>
                <w:szCs w:val="20"/>
              </w:rPr>
            </w:pPr>
            <w:r w:rsidRPr="00E70B11">
              <w:rPr>
                <w:rFonts w:ascii="Arial" w:hAnsi="Arial" w:cs="Arial"/>
                <w:b w:val="0"/>
                <w:bCs w:val="0"/>
                <w:sz w:val="20"/>
                <w:szCs w:val="20"/>
              </w:rPr>
              <w:t>Washing any vehicle with a hose and not having a water shut-off nozzle or allowing water to run continuously from a hose while washing any vehicle is also prohibited.</w:t>
            </w:r>
          </w:p>
          <w:p w:rsidR="003204CB" w:rsidRPr="00E70B11" w:rsidRDefault="003204CB" w:rsidP="00764302">
            <w:pPr>
              <w:pStyle w:val="Heading1"/>
              <w:keepNext w:val="0"/>
              <w:spacing w:before="200"/>
              <w:rPr>
                <w:rFonts w:ascii="Arial" w:hAnsi="Arial" w:cs="Arial"/>
                <w:b w:val="0"/>
                <w:sz w:val="20"/>
                <w:szCs w:val="20"/>
                <w:u w:val="single"/>
              </w:rPr>
            </w:pPr>
            <w:r w:rsidRPr="00E70B11">
              <w:rPr>
                <w:rFonts w:ascii="Arial" w:hAnsi="Arial" w:cs="Arial"/>
                <w:b w:val="0"/>
                <w:sz w:val="20"/>
                <w:szCs w:val="20"/>
                <w:u w:val="single"/>
              </w:rPr>
              <w:t>Exceptions</w:t>
            </w:r>
          </w:p>
          <w:p w:rsidR="003204CB" w:rsidRPr="00E70B11" w:rsidRDefault="003204CB" w:rsidP="00764302">
            <w:pPr>
              <w:pStyle w:val="Heading1"/>
              <w:keepNext w:val="0"/>
              <w:spacing w:before="0"/>
              <w:ind w:left="450" w:hanging="450"/>
              <w:rPr>
                <w:rFonts w:ascii="Arial" w:hAnsi="Arial" w:cs="Arial"/>
                <w:b w:val="0"/>
                <w:bCs w:val="0"/>
                <w:sz w:val="20"/>
                <w:szCs w:val="20"/>
              </w:rPr>
            </w:pPr>
            <w:r w:rsidRPr="00E70B11">
              <w:rPr>
                <w:rFonts w:ascii="Arial" w:hAnsi="Arial" w:cs="Arial"/>
                <w:b w:val="0"/>
                <w:bCs w:val="0"/>
                <w:sz w:val="20"/>
                <w:szCs w:val="20"/>
              </w:rPr>
              <w:t>A.</w:t>
            </w:r>
            <w:r w:rsidRPr="00E70B11">
              <w:rPr>
                <w:rFonts w:ascii="Arial" w:hAnsi="Arial" w:cs="Arial"/>
                <w:b w:val="0"/>
                <w:bCs w:val="0"/>
                <w:sz w:val="20"/>
                <w:szCs w:val="20"/>
              </w:rPr>
              <w:tab/>
              <w:t xml:space="preserve">The restrictions in this </w:t>
            </w:r>
            <w:r w:rsidR="007702C2" w:rsidRPr="00E70B11">
              <w:rPr>
                <w:rFonts w:ascii="Arial" w:hAnsi="Arial" w:cs="Arial"/>
                <w:b w:val="0"/>
                <w:bCs w:val="0"/>
                <w:sz w:val="20"/>
                <w:szCs w:val="20"/>
              </w:rPr>
              <w:t xml:space="preserve">policy or </w:t>
            </w:r>
            <w:r w:rsidRPr="00E70B11">
              <w:rPr>
                <w:rFonts w:ascii="Arial" w:hAnsi="Arial" w:cs="Arial"/>
                <w:b w:val="0"/>
                <w:bCs w:val="0"/>
                <w:sz w:val="20"/>
                <w:szCs w:val="20"/>
              </w:rPr>
              <w:t>ordinance do not apply to the following authorized uses:</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Flow resulting from firefighting or routine inspection of fire hydrants or from fire training activities.</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Water applied as a dust control measure, as required by erosion and sedimentation rules.</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Water applied to abate spills of flammable or otherwise hazardous materials, where water is the appropriate methodology.</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Water applied to prevent or abate health, safety, or accident hazards when alternate methods are not available.</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Water used for construction or maintenance activities where the application of water is appropriate methodology and where no other practical alternative exists.</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Water used for power-washing hard surfaces to alleviate safety or sanitary hazards, unless prohibited by drought restrictions.</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Mobile car washes when approval or a special use permit is obtained from the local authority.</w:t>
            </w:r>
          </w:p>
          <w:p w:rsidR="003204CB" w:rsidRPr="00E70B11" w:rsidRDefault="003204CB" w:rsidP="00764302">
            <w:pPr>
              <w:numPr>
                <w:ilvl w:val="0"/>
                <w:numId w:val="2"/>
              </w:numPr>
              <w:spacing w:after="120"/>
              <w:ind w:left="1260" w:hanging="720"/>
              <w:rPr>
                <w:rFonts w:ascii="Arial" w:hAnsi="Arial" w:cs="Arial"/>
                <w:sz w:val="20"/>
                <w:szCs w:val="20"/>
              </w:rPr>
            </w:pPr>
            <w:r w:rsidRPr="00E70B11">
              <w:rPr>
                <w:rFonts w:ascii="Arial" w:hAnsi="Arial" w:cs="Arial"/>
                <w:sz w:val="20"/>
                <w:szCs w:val="20"/>
              </w:rPr>
              <w:t>Emptying of swimming pools for maintenance when proper local rules are followed.</w:t>
            </w:r>
          </w:p>
        </w:tc>
      </w:tr>
    </w:tbl>
    <w:p w:rsidR="00C86DB8" w:rsidRPr="00E70B11" w:rsidRDefault="00C86DB8" w:rsidP="003204CB">
      <w:pPr>
        <w:rPr>
          <w:rFonts w:ascii="Arial" w:hAnsi="Arial" w:cs="Arial"/>
          <w:sz w:val="20"/>
          <w:szCs w:val="20"/>
        </w:rPr>
      </w:pPr>
    </w:p>
    <w:sectPr w:rsidR="00C86DB8" w:rsidRPr="00E70B11" w:rsidSect="00E70B11">
      <w:headerReference w:type="default" r:id="rId7"/>
      <w:footerReference w:type="default" r:id="rId8"/>
      <w:pgSz w:w="12240" w:h="15840"/>
      <w:pgMar w:top="126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10" w:rsidRDefault="007C1810" w:rsidP="00F02464">
      <w:r>
        <w:separator/>
      </w:r>
    </w:p>
  </w:endnote>
  <w:endnote w:type="continuationSeparator" w:id="0">
    <w:p w:rsidR="007C1810" w:rsidRDefault="007C1810" w:rsidP="00F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10" w:rsidRDefault="007C1810">
    <w:pPr>
      <w:pStyle w:val="Footer"/>
      <w:jc w:val="center"/>
    </w:pPr>
  </w:p>
  <w:p w:rsidR="007C1810" w:rsidRDefault="007C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10" w:rsidRDefault="007C1810" w:rsidP="00F02464">
      <w:r>
        <w:separator/>
      </w:r>
    </w:p>
  </w:footnote>
  <w:footnote w:type="continuationSeparator" w:id="0">
    <w:p w:rsidR="007C1810" w:rsidRDefault="007C1810" w:rsidP="00F0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8D1" w:rsidRPr="001218D1" w:rsidRDefault="007C1810" w:rsidP="00D72E5E">
    <w:pPr>
      <w:pStyle w:val="Header"/>
      <w:tabs>
        <w:tab w:val="clear" w:pos="9360"/>
        <w:tab w:val="right" w:pos="10260"/>
      </w:tabs>
      <w:rPr>
        <w:rFonts w:ascii="Arial" w:hAnsi="Arial" w:cs="Arial"/>
        <w:bCs/>
        <w:iCs/>
        <w:sz w:val="18"/>
        <w:szCs w:val="18"/>
      </w:rPr>
    </w:pPr>
    <w:r w:rsidRPr="00F02464">
      <w:rPr>
        <w:rFonts w:ascii="Arial" w:hAnsi="Arial" w:cs="Arial"/>
        <w:sz w:val="18"/>
      </w:rPr>
      <w:t>Metropolitan North Georgia Water Planning District</w:t>
    </w:r>
    <w:r w:rsidRPr="00F02464">
      <w:rPr>
        <w:rFonts w:ascii="Arial" w:hAnsi="Arial" w:cs="Arial"/>
        <w:b/>
        <w:bCs/>
        <w:i/>
        <w:iCs/>
      </w:rPr>
      <w:tab/>
    </w:r>
    <w:r w:rsidRPr="00F02464">
      <w:rPr>
        <w:rFonts w:ascii="Arial" w:hAnsi="Arial" w:cs="Arial"/>
        <w:b/>
        <w:bCs/>
        <w:i/>
        <w:iCs/>
      </w:rPr>
      <w:tab/>
    </w:r>
    <w:r w:rsidR="001218D1" w:rsidRPr="001218D1">
      <w:rPr>
        <w:rFonts w:ascii="Arial" w:hAnsi="Arial" w:cs="Arial"/>
        <w:bCs/>
        <w:iCs/>
        <w:sz w:val="18"/>
        <w:szCs w:val="18"/>
      </w:rPr>
      <w:t>Board Adopted</w:t>
    </w:r>
  </w:p>
  <w:p w:rsidR="007C1810" w:rsidRPr="001218D1" w:rsidRDefault="001218D1" w:rsidP="00D72E5E">
    <w:pPr>
      <w:pStyle w:val="Header"/>
      <w:tabs>
        <w:tab w:val="clear" w:pos="9360"/>
        <w:tab w:val="right" w:pos="10260"/>
      </w:tabs>
      <w:rPr>
        <w:rFonts w:ascii="Arial" w:hAnsi="Arial" w:cs="Arial"/>
        <w:bCs/>
        <w:iCs/>
        <w:sz w:val="18"/>
      </w:rPr>
    </w:pPr>
    <w:r>
      <w:rPr>
        <w:rFonts w:ascii="Arial" w:hAnsi="Arial" w:cs="Arial"/>
        <w:b/>
        <w:bCs/>
        <w:i/>
        <w:iCs/>
      </w:rPr>
      <w:tab/>
    </w:r>
    <w:r w:rsidR="00D72E5E">
      <w:rPr>
        <w:rFonts w:ascii="Arial" w:hAnsi="Arial" w:cs="Arial"/>
        <w:b/>
        <w:bCs/>
        <w:i/>
        <w:iCs/>
      </w:rPr>
      <w:t xml:space="preserve">                                                                                                                                        </w:t>
    </w:r>
    <w:r>
      <w:rPr>
        <w:rFonts w:ascii="Arial" w:hAnsi="Arial" w:cs="Arial"/>
        <w:bCs/>
        <w:iCs/>
        <w:sz w:val="18"/>
      </w:rPr>
      <w:t>March 1, 2012</w:t>
    </w:r>
    <w:r w:rsidR="007C1810" w:rsidRPr="00E70B11">
      <w:rPr>
        <w:rFonts w:ascii="Arial" w:hAnsi="Arial" w:cs="Arial"/>
        <w:bCs/>
        <w:iC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2709B"/>
    <w:multiLevelType w:val="hybridMultilevel"/>
    <w:tmpl w:val="9670E15A"/>
    <w:lvl w:ilvl="0" w:tplc="614AD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5F2914"/>
    <w:multiLevelType w:val="hybridMultilevel"/>
    <w:tmpl w:val="58785E50"/>
    <w:lvl w:ilvl="0" w:tplc="614AD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45FFA"/>
    <w:multiLevelType w:val="hybridMultilevel"/>
    <w:tmpl w:val="75ACCBDE"/>
    <w:lvl w:ilvl="0" w:tplc="CB3086C4">
      <w:start w:val="1"/>
      <w:numFmt w:val="lowerLetter"/>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E0"/>
    <w:rsid w:val="00003BD6"/>
    <w:rsid w:val="00032C30"/>
    <w:rsid w:val="00033659"/>
    <w:rsid w:val="00040F6C"/>
    <w:rsid w:val="00045872"/>
    <w:rsid w:val="00062BD0"/>
    <w:rsid w:val="00084A7C"/>
    <w:rsid w:val="000945AD"/>
    <w:rsid w:val="00097F54"/>
    <w:rsid w:val="000A2F5D"/>
    <w:rsid w:val="000B3E8A"/>
    <w:rsid w:val="000D117A"/>
    <w:rsid w:val="000D5299"/>
    <w:rsid w:val="000F0660"/>
    <w:rsid w:val="000F2EC1"/>
    <w:rsid w:val="001015A1"/>
    <w:rsid w:val="00117AF5"/>
    <w:rsid w:val="001218D1"/>
    <w:rsid w:val="00131125"/>
    <w:rsid w:val="0013606D"/>
    <w:rsid w:val="00157B68"/>
    <w:rsid w:val="001812A5"/>
    <w:rsid w:val="001841DC"/>
    <w:rsid w:val="00194BC3"/>
    <w:rsid w:val="001A219A"/>
    <w:rsid w:val="001A6B58"/>
    <w:rsid w:val="001B37CE"/>
    <w:rsid w:val="001C3C1E"/>
    <w:rsid w:val="001D413A"/>
    <w:rsid w:val="001E5461"/>
    <w:rsid w:val="002250E7"/>
    <w:rsid w:val="0025676D"/>
    <w:rsid w:val="00263F63"/>
    <w:rsid w:val="00271965"/>
    <w:rsid w:val="0027730A"/>
    <w:rsid w:val="00284497"/>
    <w:rsid w:val="002A2D31"/>
    <w:rsid w:val="002A5DAF"/>
    <w:rsid w:val="002A643D"/>
    <w:rsid w:val="002B29F6"/>
    <w:rsid w:val="002B5F1B"/>
    <w:rsid w:val="002B6805"/>
    <w:rsid w:val="002C4A08"/>
    <w:rsid w:val="002D3454"/>
    <w:rsid w:val="002E318A"/>
    <w:rsid w:val="002E4E3F"/>
    <w:rsid w:val="002F224D"/>
    <w:rsid w:val="003008B0"/>
    <w:rsid w:val="003147C4"/>
    <w:rsid w:val="00317A32"/>
    <w:rsid w:val="003204CB"/>
    <w:rsid w:val="00321FC3"/>
    <w:rsid w:val="00331736"/>
    <w:rsid w:val="00361809"/>
    <w:rsid w:val="00367245"/>
    <w:rsid w:val="00367D1D"/>
    <w:rsid w:val="0037239E"/>
    <w:rsid w:val="00377335"/>
    <w:rsid w:val="003815C2"/>
    <w:rsid w:val="00384DB9"/>
    <w:rsid w:val="00387629"/>
    <w:rsid w:val="003939AE"/>
    <w:rsid w:val="003975E7"/>
    <w:rsid w:val="00397EA0"/>
    <w:rsid w:val="003B066E"/>
    <w:rsid w:val="003B722C"/>
    <w:rsid w:val="003C3F57"/>
    <w:rsid w:val="003D7CD7"/>
    <w:rsid w:val="003E4494"/>
    <w:rsid w:val="003E7D26"/>
    <w:rsid w:val="00420195"/>
    <w:rsid w:val="004278F0"/>
    <w:rsid w:val="00434710"/>
    <w:rsid w:val="004372F3"/>
    <w:rsid w:val="004435AD"/>
    <w:rsid w:val="00451025"/>
    <w:rsid w:val="004536D1"/>
    <w:rsid w:val="00463827"/>
    <w:rsid w:val="00472B52"/>
    <w:rsid w:val="00481118"/>
    <w:rsid w:val="004845D1"/>
    <w:rsid w:val="004A0A27"/>
    <w:rsid w:val="004A2624"/>
    <w:rsid w:val="004A2FA9"/>
    <w:rsid w:val="004C3A98"/>
    <w:rsid w:val="004C5BB0"/>
    <w:rsid w:val="004C748F"/>
    <w:rsid w:val="004D1550"/>
    <w:rsid w:val="004F76CA"/>
    <w:rsid w:val="00514A30"/>
    <w:rsid w:val="0052404B"/>
    <w:rsid w:val="00525653"/>
    <w:rsid w:val="00535540"/>
    <w:rsid w:val="00555661"/>
    <w:rsid w:val="00563754"/>
    <w:rsid w:val="00564A4A"/>
    <w:rsid w:val="00583264"/>
    <w:rsid w:val="00583AA7"/>
    <w:rsid w:val="005A028E"/>
    <w:rsid w:val="005C5A98"/>
    <w:rsid w:val="005D0BBB"/>
    <w:rsid w:val="005D6A78"/>
    <w:rsid w:val="005E2EEC"/>
    <w:rsid w:val="005E745A"/>
    <w:rsid w:val="006008AD"/>
    <w:rsid w:val="006152FB"/>
    <w:rsid w:val="00641F8F"/>
    <w:rsid w:val="00645135"/>
    <w:rsid w:val="00645674"/>
    <w:rsid w:val="00655882"/>
    <w:rsid w:val="006679AA"/>
    <w:rsid w:val="00667FF4"/>
    <w:rsid w:val="00675FB9"/>
    <w:rsid w:val="006A6D5A"/>
    <w:rsid w:val="006D3412"/>
    <w:rsid w:val="006D61C3"/>
    <w:rsid w:val="006E21E3"/>
    <w:rsid w:val="006F17F8"/>
    <w:rsid w:val="00710323"/>
    <w:rsid w:val="00714A04"/>
    <w:rsid w:val="00721282"/>
    <w:rsid w:val="00722870"/>
    <w:rsid w:val="0075257D"/>
    <w:rsid w:val="00753E26"/>
    <w:rsid w:val="00763F45"/>
    <w:rsid w:val="00764302"/>
    <w:rsid w:val="007660C1"/>
    <w:rsid w:val="00767189"/>
    <w:rsid w:val="007702C2"/>
    <w:rsid w:val="0077268A"/>
    <w:rsid w:val="007863FE"/>
    <w:rsid w:val="007910E0"/>
    <w:rsid w:val="00794C8D"/>
    <w:rsid w:val="00797BEE"/>
    <w:rsid w:val="007A1200"/>
    <w:rsid w:val="007B5D93"/>
    <w:rsid w:val="007B74EE"/>
    <w:rsid w:val="007C1810"/>
    <w:rsid w:val="007C5C1E"/>
    <w:rsid w:val="007D6CEB"/>
    <w:rsid w:val="007E1095"/>
    <w:rsid w:val="007E3FE0"/>
    <w:rsid w:val="007F1CE7"/>
    <w:rsid w:val="007F6CCE"/>
    <w:rsid w:val="008005D7"/>
    <w:rsid w:val="00815265"/>
    <w:rsid w:val="0083583A"/>
    <w:rsid w:val="008402A9"/>
    <w:rsid w:val="00845BC7"/>
    <w:rsid w:val="00855C3F"/>
    <w:rsid w:val="00856A8B"/>
    <w:rsid w:val="00863DAC"/>
    <w:rsid w:val="008723DF"/>
    <w:rsid w:val="008A1922"/>
    <w:rsid w:val="008A1A41"/>
    <w:rsid w:val="008A2237"/>
    <w:rsid w:val="008E3368"/>
    <w:rsid w:val="008E37BD"/>
    <w:rsid w:val="008E77F4"/>
    <w:rsid w:val="009029C5"/>
    <w:rsid w:val="00910E57"/>
    <w:rsid w:val="00923450"/>
    <w:rsid w:val="00924827"/>
    <w:rsid w:val="00930F13"/>
    <w:rsid w:val="00956C8C"/>
    <w:rsid w:val="009618AE"/>
    <w:rsid w:val="0099429C"/>
    <w:rsid w:val="009966C5"/>
    <w:rsid w:val="009A258B"/>
    <w:rsid w:val="009A5650"/>
    <w:rsid w:val="009B73A8"/>
    <w:rsid w:val="009D1EDE"/>
    <w:rsid w:val="009E681A"/>
    <w:rsid w:val="00A05B88"/>
    <w:rsid w:val="00A12046"/>
    <w:rsid w:val="00A125B1"/>
    <w:rsid w:val="00A14194"/>
    <w:rsid w:val="00A14D3B"/>
    <w:rsid w:val="00A16899"/>
    <w:rsid w:val="00A51DA5"/>
    <w:rsid w:val="00A64541"/>
    <w:rsid w:val="00A65FA6"/>
    <w:rsid w:val="00A7203C"/>
    <w:rsid w:val="00A76C75"/>
    <w:rsid w:val="00A775E1"/>
    <w:rsid w:val="00A80F75"/>
    <w:rsid w:val="00A900F9"/>
    <w:rsid w:val="00AA23BE"/>
    <w:rsid w:val="00AA3505"/>
    <w:rsid w:val="00AB1858"/>
    <w:rsid w:val="00AD4234"/>
    <w:rsid w:val="00AD77CD"/>
    <w:rsid w:val="00AE1CEE"/>
    <w:rsid w:val="00AF0339"/>
    <w:rsid w:val="00AF2E04"/>
    <w:rsid w:val="00AF6A20"/>
    <w:rsid w:val="00B04BBA"/>
    <w:rsid w:val="00B17BC8"/>
    <w:rsid w:val="00B24D0C"/>
    <w:rsid w:val="00B27862"/>
    <w:rsid w:val="00B27B2C"/>
    <w:rsid w:val="00B32D1C"/>
    <w:rsid w:val="00B41700"/>
    <w:rsid w:val="00B651F6"/>
    <w:rsid w:val="00B7462B"/>
    <w:rsid w:val="00B8241E"/>
    <w:rsid w:val="00B970B2"/>
    <w:rsid w:val="00BA15F9"/>
    <w:rsid w:val="00BA7022"/>
    <w:rsid w:val="00BB4BF8"/>
    <w:rsid w:val="00BC0276"/>
    <w:rsid w:val="00BC7F55"/>
    <w:rsid w:val="00BD0B5E"/>
    <w:rsid w:val="00BD11D3"/>
    <w:rsid w:val="00BD148F"/>
    <w:rsid w:val="00BD3CC4"/>
    <w:rsid w:val="00C14018"/>
    <w:rsid w:val="00C26221"/>
    <w:rsid w:val="00C26B86"/>
    <w:rsid w:val="00C45530"/>
    <w:rsid w:val="00C61FCC"/>
    <w:rsid w:val="00C67906"/>
    <w:rsid w:val="00C80CB6"/>
    <w:rsid w:val="00C83D13"/>
    <w:rsid w:val="00C84684"/>
    <w:rsid w:val="00C86DB8"/>
    <w:rsid w:val="00CA781C"/>
    <w:rsid w:val="00CB3F14"/>
    <w:rsid w:val="00CB5E40"/>
    <w:rsid w:val="00CB791B"/>
    <w:rsid w:val="00CD6DB5"/>
    <w:rsid w:val="00CD7538"/>
    <w:rsid w:val="00CE4AC3"/>
    <w:rsid w:val="00CE725C"/>
    <w:rsid w:val="00CE7B95"/>
    <w:rsid w:val="00D0071E"/>
    <w:rsid w:val="00D026BE"/>
    <w:rsid w:val="00D13CC6"/>
    <w:rsid w:val="00D1675C"/>
    <w:rsid w:val="00D2172E"/>
    <w:rsid w:val="00D227DD"/>
    <w:rsid w:val="00D32D3E"/>
    <w:rsid w:val="00D414A2"/>
    <w:rsid w:val="00D43FF9"/>
    <w:rsid w:val="00D4554E"/>
    <w:rsid w:val="00D4675E"/>
    <w:rsid w:val="00D52422"/>
    <w:rsid w:val="00D72E5E"/>
    <w:rsid w:val="00D832EE"/>
    <w:rsid w:val="00D868D7"/>
    <w:rsid w:val="00D9372C"/>
    <w:rsid w:val="00DA6164"/>
    <w:rsid w:val="00DC0D0F"/>
    <w:rsid w:val="00DD2DE3"/>
    <w:rsid w:val="00DD513B"/>
    <w:rsid w:val="00DF36F1"/>
    <w:rsid w:val="00E054CA"/>
    <w:rsid w:val="00E1089C"/>
    <w:rsid w:val="00E605FD"/>
    <w:rsid w:val="00E61920"/>
    <w:rsid w:val="00E6256C"/>
    <w:rsid w:val="00E67498"/>
    <w:rsid w:val="00E70B11"/>
    <w:rsid w:val="00E75D14"/>
    <w:rsid w:val="00EA78A4"/>
    <w:rsid w:val="00EB0950"/>
    <w:rsid w:val="00ED480B"/>
    <w:rsid w:val="00EE06C0"/>
    <w:rsid w:val="00EF349C"/>
    <w:rsid w:val="00F0165B"/>
    <w:rsid w:val="00F02464"/>
    <w:rsid w:val="00F279A1"/>
    <w:rsid w:val="00F30F30"/>
    <w:rsid w:val="00F54113"/>
    <w:rsid w:val="00F54B4A"/>
    <w:rsid w:val="00F5507F"/>
    <w:rsid w:val="00F8545B"/>
    <w:rsid w:val="00FC3BCD"/>
    <w:rsid w:val="00FD0794"/>
    <w:rsid w:val="00FF208B"/>
    <w:rsid w:val="00FF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0BFCEB3"/>
  <w15:docId w15:val="{1F515B0A-3372-4E1B-8498-C842B97D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0E0"/>
    <w:rPr>
      <w:sz w:val="24"/>
      <w:szCs w:val="24"/>
    </w:rPr>
  </w:style>
  <w:style w:type="paragraph" w:styleId="Heading1">
    <w:name w:val="heading 1"/>
    <w:basedOn w:val="Normal"/>
    <w:next w:val="Normal"/>
    <w:link w:val="Heading1Char"/>
    <w:qFormat/>
    <w:rsid w:val="00C86D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2464"/>
    <w:pPr>
      <w:keepNext/>
      <w:outlineLvl w:val="1"/>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2464"/>
    <w:pPr>
      <w:tabs>
        <w:tab w:val="center" w:pos="4680"/>
        <w:tab w:val="right" w:pos="9360"/>
      </w:tabs>
    </w:pPr>
  </w:style>
  <w:style w:type="character" w:customStyle="1" w:styleId="HeaderChar">
    <w:name w:val="Header Char"/>
    <w:basedOn w:val="DefaultParagraphFont"/>
    <w:link w:val="Header"/>
    <w:rsid w:val="00F02464"/>
    <w:rPr>
      <w:sz w:val="24"/>
      <w:szCs w:val="24"/>
    </w:rPr>
  </w:style>
  <w:style w:type="paragraph" w:styleId="Footer">
    <w:name w:val="footer"/>
    <w:basedOn w:val="Normal"/>
    <w:link w:val="FooterChar"/>
    <w:uiPriority w:val="99"/>
    <w:rsid w:val="00F02464"/>
    <w:pPr>
      <w:tabs>
        <w:tab w:val="center" w:pos="4680"/>
        <w:tab w:val="right" w:pos="9360"/>
      </w:tabs>
    </w:pPr>
  </w:style>
  <w:style w:type="character" w:customStyle="1" w:styleId="FooterChar">
    <w:name w:val="Footer Char"/>
    <w:basedOn w:val="DefaultParagraphFont"/>
    <w:link w:val="Footer"/>
    <w:uiPriority w:val="99"/>
    <w:rsid w:val="00F02464"/>
    <w:rPr>
      <w:sz w:val="24"/>
      <w:szCs w:val="24"/>
    </w:rPr>
  </w:style>
  <w:style w:type="character" w:customStyle="1" w:styleId="Heading2Char">
    <w:name w:val="Heading 2 Char"/>
    <w:basedOn w:val="DefaultParagraphFont"/>
    <w:link w:val="Heading2"/>
    <w:rsid w:val="00F02464"/>
    <w:rPr>
      <w:b/>
      <w:bCs/>
      <w:sz w:val="32"/>
    </w:rPr>
  </w:style>
  <w:style w:type="character" w:customStyle="1" w:styleId="Heading1Char">
    <w:name w:val="Heading 1 Char"/>
    <w:basedOn w:val="DefaultParagraphFont"/>
    <w:link w:val="Heading1"/>
    <w:rsid w:val="00C86DB8"/>
    <w:rPr>
      <w:rFonts w:ascii="Cambria" w:eastAsia="Times New Roman" w:hAnsi="Cambria" w:cs="Times New Roman"/>
      <w:b/>
      <w:bCs/>
      <w:kern w:val="32"/>
      <w:sz w:val="32"/>
      <w:szCs w:val="32"/>
    </w:rPr>
  </w:style>
  <w:style w:type="paragraph" w:styleId="ListParagraph">
    <w:name w:val="List Paragraph"/>
    <w:basedOn w:val="Normal"/>
    <w:uiPriority w:val="34"/>
    <w:qFormat/>
    <w:rsid w:val="00C86DB8"/>
    <w:pPr>
      <w:ind w:left="720"/>
    </w:pPr>
    <w:rPr>
      <w:sz w:val="20"/>
      <w:szCs w:val="20"/>
    </w:rPr>
  </w:style>
  <w:style w:type="table" w:styleId="TableGrid">
    <w:name w:val="Table Grid"/>
    <w:basedOn w:val="TableNormal"/>
    <w:rsid w:val="00320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204CB"/>
    <w:rPr>
      <w:rFonts w:ascii="Tahoma" w:hAnsi="Tahoma" w:cs="Tahoma"/>
      <w:sz w:val="16"/>
      <w:szCs w:val="16"/>
    </w:rPr>
  </w:style>
  <w:style w:type="character" w:customStyle="1" w:styleId="BalloonTextChar">
    <w:name w:val="Balloon Text Char"/>
    <w:basedOn w:val="DefaultParagraphFont"/>
    <w:link w:val="BalloonText"/>
    <w:rsid w:val="00320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5562">
      <w:bodyDiv w:val="1"/>
      <w:marLeft w:val="0"/>
      <w:marRight w:val="0"/>
      <w:marTop w:val="0"/>
      <w:marBottom w:val="0"/>
      <w:divBdr>
        <w:top w:val="none" w:sz="0" w:space="0" w:color="auto"/>
        <w:left w:val="none" w:sz="0" w:space="0" w:color="auto"/>
        <w:bottom w:val="none" w:sz="0" w:space="0" w:color="auto"/>
        <w:right w:val="none" w:sz="0" w:space="0" w:color="auto"/>
      </w:divBdr>
      <w:divsChild>
        <w:div w:id="662976250">
          <w:marLeft w:val="0"/>
          <w:marRight w:val="0"/>
          <w:marTop w:val="0"/>
          <w:marBottom w:val="0"/>
          <w:divBdr>
            <w:top w:val="none" w:sz="0" w:space="0" w:color="auto"/>
            <w:left w:val="none" w:sz="0" w:space="0" w:color="auto"/>
            <w:bottom w:val="none" w:sz="0" w:space="0" w:color="auto"/>
            <w:right w:val="none" w:sz="0" w:space="0" w:color="auto"/>
          </w:divBdr>
          <w:divsChild>
            <w:div w:id="852767321">
              <w:marLeft w:val="0"/>
              <w:marRight w:val="0"/>
              <w:marTop w:val="0"/>
              <w:marBottom w:val="0"/>
              <w:divBdr>
                <w:top w:val="none" w:sz="0" w:space="0" w:color="auto"/>
                <w:left w:val="none" w:sz="0" w:space="0" w:color="auto"/>
                <w:bottom w:val="none" w:sz="0" w:space="0" w:color="auto"/>
                <w:right w:val="none" w:sz="0" w:space="0" w:color="auto"/>
              </w:divBdr>
            </w:div>
          </w:divsChild>
        </w:div>
        <w:div w:id="1190265454">
          <w:marLeft w:val="0"/>
          <w:marRight w:val="0"/>
          <w:marTop w:val="0"/>
          <w:marBottom w:val="0"/>
          <w:divBdr>
            <w:top w:val="none" w:sz="0" w:space="0" w:color="auto"/>
            <w:left w:val="none" w:sz="0" w:space="0" w:color="auto"/>
            <w:bottom w:val="none" w:sz="0" w:space="0" w:color="auto"/>
            <w:right w:val="none" w:sz="0" w:space="0" w:color="auto"/>
          </w:divBdr>
        </w:div>
        <w:div w:id="1243032413">
          <w:marLeft w:val="0"/>
          <w:marRight w:val="0"/>
          <w:marTop w:val="0"/>
          <w:marBottom w:val="0"/>
          <w:divBdr>
            <w:top w:val="none" w:sz="0" w:space="0" w:color="auto"/>
            <w:left w:val="none" w:sz="0" w:space="0" w:color="auto"/>
            <w:bottom w:val="none" w:sz="0" w:space="0" w:color="auto"/>
            <w:right w:val="none" w:sz="0" w:space="0" w:color="auto"/>
          </w:divBdr>
          <w:divsChild>
            <w:div w:id="642582534">
              <w:marLeft w:val="0"/>
              <w:marRight w:val="0"/>
              <w:marTop w:val="0"/>
              <w:marBottom w:val="0"/>
              <w:divBdr>
                <w:top w:val="none" w:sz="0" w:space="0" w:color="auto"/>
                <w:left w:val="none" w:sz="0" w:space="0" w:color="auto"/>
                <w:bottom w:val="none" w:sz="0" w:space="0" w:color="auto"/>
                <w:right w:val="none" w:sz="0" w:space="0" w:color="auto"/>
              </w:divBdr>
            </w:div>
          </w:divsChild>
        </w:div>
        <w:div w:id="2081057814">
          <w:marLeft w:val="0"/>
          <w:marRight w:val="0"/>
          <w:marTop w:val="0"/>
          <w:marBottom w:val="0"/>
          <w:divBdr>
            <w:top w:val="none" w:sz="0" w:space="0" w:color="auto"/>
            <w:left w:val="none" w:sz="0" w:space="0" w:color="auto"/>
            <w:bottom w:val="none" w:sz="0" w:space="0" w:color="auto"/>
            <w:right w:val="none" w:sz="0" w:space="0" w:color="auto"/>
          </w:divBdr>
          <w:divsChild>
            <w:div w:id="772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vt:lpstr>
    </vt:vector>
  </TitlesOfParts>
  <Company>Fulton County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michelle.lawrence</dc:creator>
  <cp:lastModifiedBy>Kelsey Waidhas</cp:lastModifiedBy>
  <cp:revision>4</cp:revision>
  <cp:lastPrinted>2012-02-21T18:49:00Z</cp:lastPrinted>
  <dcterms:created xsi:type="dcterms:W3CDTF">2018-08-23T16:32:00Z</dcterms:created>
  <dcterms:modified xsi:type="dcterms:W3CDTF">2018-08-23T16:33:00Z</dcterms:modified>
</cp:coreProperties>
</file>